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160"/>
        <w:jc w:val="center"/>
      </w:pPr>
      <w:r>
        <w:drawing xmlns:a="http://schemas.openxmlformats.org/drawingml/2006/main">
          <wp:anchor distT="152400" distB="152400" distL="152400" distR="152400" simplePos="0" relativeHeight="251660288" behindDoc="0" locked="0" layoutInCell="1" allowOverlap="1">
            <wp:simplePos x="0" y="0"/>
            <wp:positionH relativeFrom="margin">
              <wp:posOffset>3219450</wp:posOffset>
            </wp:positionH>
            <wp:positionV relativeFrom="page">
              <wp:posOffset>290353</wp:posOffset>
            </wp:positionV>
            <wp:extent cx="3147336" cy="867887"/>
            <wp:effectExtent l="0" t="0" r="0" b="0"/>
            <wp:wrapThrough wrapText="bothSides" distL="152400" distR="152400">
              <wp:wrapPolygon edited="1">
                <wp:start x="0" y="0"/>
                <wp:lineTo x="21600" y="0"/>
                <wp:lineTo x="21600" y="21600"/>
                <wp:lineTo x="0" y="21600"/>
                <wp:lineTo x="0" y="0"/>
              </wp:wrapPolygon>
            </wp:wrapThrough>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3147336" cy="867887"/>
                    </a:xfrm>
                    <a:prstGeom prst="rect">
                      <a:avLst/>
                    </a:prstGeom>
                    <a:ln w="12700" cap="flat">
                      <a:noFill/>
                      <a:miter lim="400000"/>
                    </a:ln>
                    <a:effectLst/>
                  </pic:spPr>
                </pic:pic>
              </a:graphicData>
            </a:graphic>
          </wp:anchor>
        </w:drawing>
      </w:r>
      <w:r>
        <w:drawing xmlns:a="http://schemas.openxmlformats.org/drawingml/2006/main">
          <wp:anchor distT="152400" distB="152400" distL="152400" distR="152400" simplePos="0" relativeHeight="251659264" behindDoc="0" locked="0" layoutInCell="1" allowOverlap="1">
            <wp:simplePos x="0" y="0"/>
            <wp:positionH relativeFrom="margin">
              <wp:posOffset>-606393</wp:posOffset>
            </wp:positionH>
            <wp:positionV relativeFrom="page">
              <wp:posOffset>318918</wp:posOffset>
            </wp:positionV>
            <wp:extent cx="3714084" cy="810758"/>
            <wp:effectExtent l="0" t="0" r="0" b="0"/>
            <wp:wrapThrough wrapText="bothSides" distL="152400" distR="152400">
              <wp:wrapPolygon edited="1">
                <wp:start x="0" y="0"/>
                <wp:lineTo x="21621" y="0"/>
                <wp:lineTo x="21621" y="21645"/>
                <wp:lineTo x="0" y="21645"/>
                <wp:lineTo x="0" y="0"/>
              </wp:wrapPolygon>
            </wp:wrapThrough>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3714084" cy="810758"/>
                    </a:xfrm>
                    <a:prstGeom prst="rect">
                      <a:avLst/>
                    </a:prstGeom>
                    <a:ln w="12700" cap="flat">
                      <a:noFill/>
                      <a:miter lim="400000"/>
                    </a:ln>
                    <a:effectLst/>
                  </pic:spPr>
                </pic:pic>
              </a:graphicData>
            </a:graphic>
          </wp:anchor>
        </w:drawing>
      </w:r>
    </w:p>
    <w:p>
      <w:pPr>
        <w:pStyle w:val="Body"/>
        <w:spacing w:after="160"/>
        <w:jc w:val="center"/>
        <w:rPr>
          <w:rFonts w:ascii="Times New Roman" w:cs="Times New Roman" w:hAnsi="Times New Roman" w:eastAsia="Times New Roman"/>
          <w:sz w:val="24"/>
          <w:szCs w:val="24"/>
        </w:rPr>
      </w:pPr>
      <w:r>
        <w:rPr>
          <w:b w:val="1"/>
          <w:bCs w:val="1"/>
          <w:i w:val="1"/>
          <w:iCs w:val="1"/>
          <w:outline w:val="0"/>
          <w:color w:val="000000"/>
          <w:sz w:val="24"/>
          <w:szCs w:val="24"/>
          <w:u w:color="000000"/>
          <w:rtl w:val="0"/>
          <w:lang w:val="en-US"/>
          <w14:textFill>
            <w14:solidFill>
              <w14:srgbClr w14:val="000000"/>
            </w14:solidFill>
          </w14:textFill>
        </w:rPr>
        <w:t>Fentanyl Fathers LIVE High School Assembly Program</w:t>
      </w:r>
    </w:p>
    <w:p>
      <w:pPr>
        <w:pStyle w:val="Body"/>
        <w:spacing w:after="160"/>
        <w:rPr>
          <w:outline w:val="0"/>
          <w:color w:val="000000"/>
          <w:sz w:val="24"/>
          <w:szCs w:val="24"/>
          <w:u w:color="000000"/>
          <w14:textFill>
            <w14:solidFill>
              <w14:srgbClr w14:val="000000"/>
            </w14:solidFill>
          </w14:textFill>
        </w:rPr>
      </w:pPr>
      <w:r>
        <w:rPr>
          <w:outline w:val="0"/>
          <w:color w:val="000000"/>
          <w:sz w:val="24"/>
          <w:szCs w:val="24"/>
          <w:u w:color="000000"/>
          <w:rtl w:val="0"/>
          <w:lang w:val="en-US"/>
          <w14:textFill>
            <w14:solidFill>
              <w14:srgbClr w14:val="000000"/>
            </w14:solidFill>
          </w14:textFill>
        </w:rPr>
        <w:t>Fentanyl Fathers LIVE</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 High School Assembly Intervention is designed to be the most effective method known to directly combat the current out of control loss of life, grief and tragedy caused by today</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n-US"/>
          <w14:textFill>
            <w14:solidFill>
              <w14:srgbClr w14:val="000000"/>
            </w14:solidFill>
          </w14:textFill>
        </w:rPr>
        <w:t>s illicit fentanyl prevalence.  Our program is designed with one goal in mind:  save lives through giving students direct communication with bereaved parents, providing the most up to date fentanyl education and death by fentanyl prevention. We believe every young person deserves a chance to hear and learn about the impact of fentanyl poisoning in their community and what they can do about it before it is too late.</w:t>
      </w:r>
    </w:p>
    <w:p>
      <w:pPr>
        <w:pStyle w:val="Body"/>
        <w:spacing w:after="160"/>
        <w:rPr>
          <w:outline w:val="0"/>
          <w:color w:val="000000"/>
          <w:sz w:val="24"/>
          <w:szCs w:val="24"/>
          <w:u w:color="000000"/>
          <w14:textFill>
            <w14:solidFill>
              <w14:srgbClr w14:val="000000"/>
            </w14:solidFill>
          </w14:textFill>
        </w:rPr>
      </w:pPr>
      <w:r>
        <w:rPr>
          <w:outline w:val="0"/>
          <w:color w:val="000000"/>
          <w:sz w:val="24"/>
          <w:szCs w:val="24"/>
          <w:u w:color="000000"/>
          <w:rtl w:val="0"/>
          <w:lang w:val="en-US"/>
          <w14:textFill>
            <w14:solidFill>
              <w14:srgbClr w14:val="000000"/>
            </w14:solidFill>
          </w14:textFill>
        </w:rPr>
        <w:t xml:space="preserve">Two trained Fentanyl Fathers volunteers will conduct the presentation and facilitate communication with the audience. A PowerPoint presentation will be shown on a laptop-compatible projector. </w:t>
      </w:r>
    </w:p>
    <w:p>
      <w:pPr>
        <w:pStyle w:val="Body"/>
        <w:spacing w:after="160"/>
        <w:rPr>
          <w:rFonts w:ascii="Times New Roman" w:cs="Times New Roman" w:hAnsi="Times New Roman" w:eastAsia="Times New Roman"/>
          <w:sz w:val="24"/>
          <w:szCs w:val="24"/>
        </w:rPr>
      </w:pPr>
      <w:r>
        <w:rPr>
          <w:outline w:val="0"/>
          <w:color w:val="000000"/>
          <w:sz w:val="24"/>
          <w:szCs w:val="24"/>
          <w:u w:color="000000"/>
          <w:rtl w:val="0"/>
          <w:lang w:val="en-US"/>
          <w14:textFill>
            <w14:solidFill>
              <w14:srgbClr w14:val="000000"/>
            </w14:solidFill>
          </w14:textFill>
        </w:rPr>
        <w:t>The presentation will be in USB-downloadable format containing four slides. The first slide will show a QR code that students can use their phones to access a 5-minute pre-test survey that they will complete prior to our video presentation.</w:t>
      </w:r>
      <w:r>
        <w:rPr>
          <w:outline w:val="0"/>
          <w:color w:val="000000"/>
          <w:sz w:val="24"/>
          <w:szCs w:val="24"/>
          <w:u w:color="000000"/>
          <w:rtl w:val="0"/>
          <w:lang w:val="en-US"/>
          <w14:textFill>
            <w14:solidFill>
              <w14:srgbClr w14:val="000000"/>
            </w14:solidFill>
          </w14:textFill>
        </w:rPr>
        <w:t> </w:t>
      </w:r>
    </w:p>
    <w:p>
      <w:pPr>
        <w:pStyle w:val="Body"/>
        <w:spacing w:after="160"/>
        <w:rPr>
          <w:rFonts w:ascii="Times New Roman" w:cs="Times New Roman" w:hAnsi="Times New Roman" w:eastAsia="Times New Roman"/>
          <w:sz w:val="24"/>
          <w:szCs w:val="24"/>
        </w:rPr>
      </w:pPr>
      <w:r>
        <w:rPr>
          <w:outline w:val="0"/>
          <w:color w:val="000000"/>
          <w:sz w:val="24"/>
          <w:szCs w:val="24"/>
          <w:u w:color="000000"/>
          <w:rtl w:val="0"/>
          <w:lang w:val="en-US"/>
          <w14:textFill>
            <w14:solidFill>
              <w14:srgbClr w14:val="000000"/>
            </w14:solidFill>
          </w14:textFill>
        </w:rPr>
        <w:t xml:space="preserve">The </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n-US"/>
          <w14:textFill>
            <w14:solidFill>
              <w14:srgbClr w14:val="000000"/>
            </w14:solidFill>
          </w14:textFill>
        </w:rPr>
        <w:t>Dead on Arrival</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 xml:space="preserve">21-minute film documentary will then be played for the audience which  highlights case study examples of parents who have experienced losing their son or daughter to a fentanyl overdose. The video viscerally displays real-life family experiences about overdose death and provides information about how social media platforms masquerade as targeted avenues for drug trafficking to adolescent populations, why counterfeit pills in any form can contain lethal doses of fentanyl, how </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s-ES_tradnl"/>
          <w14:textFill>
            <w14:solidFill>
              <w14:srgbClr w14:val="000000"/>
            </w14:solidFill>
          </w14:textFill>
        </w:rPr>
        <w:t>similar</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 xml:space="preserve">counterfeit pills are to the </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n-US"/>
          <w14:textFill>
            <w14:solidFill>
              <w14:srgbClr w14:val="000000"/>
            </w14:solidFill>
          </w14:textFill>
        </w:rPr>
        <w:t>real</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equivalent, and how the experimental one-time use of a fake pill is killing children everywhere, every day.</w:t>
      </w:r>
    </w:p>
    <w:p>
      <w:pPr>
        <w:pStyle w:val="Body"/>
        <w:spacing w:after="160"/>
        <w:rPr>
          <w:outline w:val="0"/>
          <w:color w:val="000000"/>
          <w:sz w:val="24"/>
          <w:szCs w:val="24"/>
          <w:u w:color="000000"/>
          <w14:textFill>
            <w14:solidFill>
              <w14:srgbClr w14:val="000000"/>
            </w14:solidFill>
          </w14:textFill>
        </w:rPr>
      </w:pPr>
      <w:r>
        <w:rPr>
          <w:outline w:val="0"/>
          <w:color w:val="000000"/>
          <w:sz w:val="24"/>
          <w:szCs w:val="24"/>
          <w:u w:color="000000"/>
          <w:rtl w:val="0"/>
          <w:lang w:val="en-US"/>
          <w14:textFill>
            <w14:solidFill>
              <w14:srgbClr w14:val="000000"/>
            </w14:solidFill>
          </w14:textFill>
        </w:rPr>
        <w:t>After the video, an organized 20-minute discussion will be guided by Fentanyl Fathers volunteer(s) which will address how to recognize and respond to an overdose, when to, and who to ask for help when feeling depressed or anxious,</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 xml:space="preserve">what the benefits are to seeking help from a trusted resource versus seeking out a pill, what barriers may exist for accessing naloxone, why naloxone is important, how to respond to a peer pressure situation, what benefits there are to not experimenting with drugs, and what kind of threat fentanyl poses to our futures if we decide experimenting is ok. </w:t>
      </w:r>
    </w:p>
    <w:p>
      <w:pPr>
        <w:pStyle w:val="Body"/>
        <w:spacing w:after="160"/>
        <w:rPr>
          <w:rFonts w:ascii="Times New Roman" w:cs="Times New Roman" w:hAnsi="Times New Roman" w:eastAsia="Times New Roman"/>
          <w:sz w:val="24"/>
          <w:szCs w:val="24"/>
        </w:rPr>
      </w:pPr>
      <w:r>
        <w:rPr>
          <w:outline w:val="0"/>
          <w:color w:val="000000"/>
          <w:sz w:val="24"/>
          <w:szCs w:val="24"/>
          <w:u w:color="000000"/>
          <w:rtl w:val="0"/>
          <w:lang w:val="en-US"/>
          <w14:textFill>
            <w14:solidFill>
              <w14:srgbClr w14:val="000000"/>
            </w14:solidFill>
          </w14:textFill>
        </w:rPr>
        <w:t xml:space="preserve">The bereaved-parent volunteer leading the discussion is encouraged to put forth their own personal experience and </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n-US"/>
          <w14:textFill>
            <w14:solidFill>
              <w14:srgbClr w14:val="000000"/>
            </w14:solidFill>
          </w14:textFill>
        </w:rPr>
        <w:t>loss</w:t>
      </w:r>
      <w:r>
        <w:rPr>
          <w:outline w:val="0"/>
          <w:color w:val="000000"/>
          <w:sz w:val="24"/>
          <w:szCs w:val="24"/>
          <w:u w:color="000000"/>
          <w:rtl w:val="0"/>
          <w:lang w:val="en-US"/>
          <w14:textFill>
            <w14:solidFill>
              <w14:srgbClr w14:val="000000"/>
            </w14:solidFill>
          </w14:textFill>
        </w:rPr>
        <w:t xml:space="preserve">” </w:t>
      </w:r>
      <w:r>
        <w:rPr>
          <w:outline w:val="0"/>
          <w:color w:val="000000"/>
          <w:sz w:val="24"/>
          <w:szCs w:val="24"/>
          <w:u w:color="000000"/>
          <w:rtl w:val="0"/>
          <w:lang w:val="en-US"/>
          <w14:textFill>
            <w14:solidFill>
              <w14:srgbClr w14:val="000000"/>
            </w14:solidFill>
          </w14:textFill>
        </w:rPr>
        <w:t>story during the discussion. At the end of the discussion the presenter will provide an opportunity for households to have free Naloxone delivered to them privately through an e-mail sign-up located on the post-test survey. The post-test survey will be accessed through another QR code found on the last slide of the presentation.</w:t>
      </w:r>
      <w:r>
        <w:rPr>
          <w:outline w:val="0"/>
          <w:color w:val="000000"/>
          <w:sz w:val="24"/>
          <w:szCs w:val="24"/>
          <w:u w:color="000000"/>
          <w:rtl w:val="0"/>
          <w:lang w:val="en-US"/>
          <w14:textFill>
            <w14:solidFill>
              <w14:srgbClr w14:val="000000"/>
            </w14:solidFill>
          </w14:textFill>
        </w:rPr>
        <w:t> </w:t>
      </w:r>
    </w:p>
    <w:p>
      <w:pPr>
        <w:pStyle w:val="Body"/>
        <w:spacing w:after="160"/>
        <w:rPr>
          <w:rFonts w:ascii="Times New Roman" w:cs="Times New Roman" w:hAnsi="Times New Roman" w:eastAsia="Times New Roman"/>
          <w:sz w:val="24"/>
          <w:szCs w:val="24"/>
        </w:rPr>
      </w:pPr>
      <w:r>
        <w:rPr>
          <w:outline w:val="0"/>
          <w:color w:val="000000"/>
          <w:sz w:val="24"/>
          <w:szCs w:val="24"/>
          <w:u w:color="000000"/>
          <w:rtl w:val="0"/>
          <w:lang w:val="en-US"/>
          <w14:textFill>
            <w14:solidFill>
              <w14:srgbClr w14:val="000000"/>
            </w14:solidFill>
          </w14:textFill>
        </w:rPr>
        <w:t>Fentanyl Fathers will use the pre and post test data to analyze program short term outcome measures which follow the Health Belief Model of behavior change. Expected outcomes include increased knowledge scores about fentanyl pill dangers, increased self-efficacy in recognizing and responding to a drug overdose, increased perceived threat score of fentanyl, increased perceived benefit of drug abstinence, and decreased perceived barriers to naloxone. Pre and post test data collected will be analyzed on a biannual basis and feedback will be used to improve discussion and presentation format. Fentanyl Fathers will also plan to reassess drug use and misuse behaviors among participants who have received our program intervention within one year. Statistically significant decreases in drug misuse/use behaviors would be expected as a result of our theory of change model and intervention.</w:t>
      </w:r>
    </w:p>
    <w:p>
      <w:pPr>
        <w:pStyle w:val="Body"/>
        <w:spacing w:after="160"/>
        <w:rPr>
          <w:rFonts w:ascii="Times New Roman" w:cs="Times New Roman" w:hAnsi="Times New Roman" w:eastAsia="Times New Roman"/>
        </w:rPr>
      </w:pPr>
      <w:r>
        <w:rPr>
          <w:outline w:val="0"/>
          <w:color w:val="000000"/>
          <w:sz w:val="24"/>
          <w:szCs w:val="24"/>
          <w:u w:color="000000"/>
          <w:rtl w:val="0"/>
          <w:lang w:val="en-US"/>
          <w14:textFill>
            <w14:solidFill>
              <w14:srgbClr w14:val="000000"/>
            </w14:solidFill>
          </w14:textFill>
        </w:rPr>
        <w:t>Fentanyl Fathers will also plan to follow up with participants who sign up to receive Naloxone  by gauging interest in being connected with mental health resources or substance abuse rehabilitation services in their area. Every naloxone kit distributed will be recorded and accompanied by a naloxone-training video link. Every naloxone dose that is used will have a number card that can be called to re-ship and supply new doses. The number of naloxone doses that are used will be an indicator of overdose deaths prevented, and Fentanyl Fathers will be tracking epidemiological data trends on overdose deaths in every state we</w:t>
      </w:r>
      <w:r>
        <w:rPr>
          <w:outline w:val="0"/>
          <w:color w:val="000000"/>
          <w:sz w:val="24"/>
          <w:szCs w:val="24"/>
          <w:u w:color="000000"/>
          <w:rtl w:val="0"/>
          <w:lang w:val="en-US"/>
          <w14:textFill>
            <w14:solidFill>
              <w14:srgbClr w14:val="000000"/>
            </w14:solidFill>
          </w14:textFill>
        </w:rPr>
        <w:t>’</w:t>
      </w:r>
      <w:r>
        <w:rPr>
          <w:outline w:val="0"/>
          <w:color w:val="000000"/>
          <w:sz w:val="24"/>
          <w:szCs w:val="24"/>
          <w:u w:color="000000"/>
          <w:rtl w:val="0"/>
          <w:lang w:val="en-US"/>
          <w14:textFill>
            <w14:solidFill>
              <w14:srgbClr w14:val="000000"/>
            </w14:solidFill>
          </w14:textFill>
        </w:rPr>
        <w:t>ve intervened in on an annual basis. As our program receives the necessary inputs, follows this activity format, adapts to new and emerging evidence in overdose prevention, and remains steadfast in its aims of pursuing its outcome targets; then overdose incidence rates and overdose mortality rates among adolescents will decrease in the school districts and counties that receive Fentanyl Fathers LIVE intervention.</w:t>
      </w:r>
    </w:p>
    <w:p>
      <w:pPr>
        <w:pStyle w:val="Body"/>
        <w:spacing w:after="160"/>
        <w:rPr>
          <w:b w:val="1"/>
          <w:bCs w:val="1"/>
          <w:i w:val="1"/>
          <w:iCs w:val="1"/>
          <w:outline w:val="0"/>
          <w:color w:val="000000"/>
          <w:u w:color="000000"/>
          <w14:textFill>
            <w14:solidFill>
              <w14:srgbClr w14:val="000000"/>
            </w14:solidFill>
          </w14:textFill>
        </w:rPr>
      </w:pPr>
      <w:r>
        <w:rPr>
          <w:b w:val="1"/>
          <w:bCs w:val="1"/>
          <w:i w:val="1"/>
          <w:iCs w:val="1"/>
          <w:outline w:val="0"/>
          <w:color w:val="000000"/>
          <w:u w:color="000000"/>
          <w:rtl w:val="0"/>
          <w:lang w:val="en-US"/>
          <w14:textFill>
            <w14:solidFill>
              <w14:srgbClr w14:val="000000"/>
            </w14:solidFill>
          </w14:textFill>
        </w:rPr>
        <w:t>For more information about booking a Fentanyl Fathers Intervention or other questions about our program, please call Bob Minotti at 386-801-4884</w:t>
      </w:r>
      <w:r>
        <w:rPr>
          <w:b w:val="1"/>
          <w:bCs w:val="1"/>
          <w:i w:val="1"/>
          <w:iCs w:val="1"/>
          <w:outline w:val="0"/>
          <w:color w:val="000000"/>
          <w:u w:color="000000"/>
          <w:rtl w:val="0"/>
          <w:lang w:val="en-US"/>
          <w14:textFill>
            <w14:solidFill>
              <w14:srgbClr w14:val="000000"/>
            </w14:solidFill>
          </w14:textFill>
        </w:rPr>
        <w:t> </w:t>
      </w:r>
      <w:r>
        <w:rPr>
          <w:b w:val="1"/>
          <w:bCs w:val="1"/>
          <w:i w:val="1"/>
          <w:iCs w:val="1"/>
          <w:outline w:val="0"/>
          <w:color w:val="000000"/>
          <w:u w:color="000000"/>
          <w:rtl w:val="0"/>
          <w:lang w:val="en-US"/>
          <w14:textFill>
            <w14:solidFill>
              <w14:srgbClr w14:val="000000"/>
            </w14:solidFill>
          </w14:textFill>
        </w:rPr>
        <w:t>or Greg Swan at 248-667-2722.</w:t>
      </w:r>
    </w:p>
    <w:p>
      <w:pPr>
        <w:pStyle w:val="Default"/>
        <w:bidi w:val="0"/>
        <w:spacing w:before="0" w:line="240" w:lineRule="auto"/>
        <w:ind w:left="0" w:right="0" w:firstLine="0"/>
        <w:jc w:val="left"/>
        <w:rPr>
          <w:rFonts w:ascii="Calibri" w:cs="Calibri" w:hAnsi="Calibri" w:eastAsia="Calibri"/>
          <w:outline w:val="0"/>
          <w:color w:val="888888"/>
          <w:shd w:val="clear" w:color="auto" w:fill="ffffff"/>
          <w:rtl w:val="0"/>
          <w14:textFill>
            <w14:solidFill>
              <w14:srgbClr w14:val="888888"/>
            </w14:solidFill>
          </w14:textFill>
        </w:rPr>
      </w:pPr>
      <w:r>
        <w:rPr>
          <w:rFonts w:ascii="Calibri" w:hAnsi="Calibri"/>
          <w:b w:val="1"/>
          <w:bCs w:val="1"/>
          <w:shd w:val="clear" w:color="auto" w:fill="ffffff"/>
          <w:rtl w:val="0"/>
          <w:lang w:val="en-US"/>
        </w:rPr>
        <w:t xml:space="preserve">Key numbers from the </w:t>
      </w:r>
      <w:r>
        <w:rPr>
          <w:rFonts w:ascii="Calibri" w:hAnsi="Calibri"/>
          <w:b w:val="1"/>
          <w:bCs w:val="1"/>
          <w:shd w:val="clear" w:color="auto" w:fill="ffffff"/>
          <w:rtl w:val="0"/>
          <w:lang w:val="en-US"/>
        </w:rPr>
        <w:t xml:space="preserve">spreadsheet </w:t>
      </w:r>
      <w:r>
        <w:rPr>
          <w:rFonts w:ascii="Calibri" w:hAnsi="Calibri"/>
          <w:b w:val="1"/>
          <w:bCs w:val="1"/>
          <w:shd w:val="clear" w:color="auto" w:fill="ffffff"/>
          <w:rtl w:val="0"/>
          <w:lang w:val="fr-FR"/>
        </w:rPr>
        <w:t>budget</w:t>
      </w:r>
      <w:r>
        <w:rPr>
          <w:rFonts w:ascii="Calibri" w:hAnsi="Calibri"/>
          <w:shd w:val="clear" w:color="auto" w:fill="ffffff"/>
          <w:rtl w:val="0"/>
          <w:lang w:val="fr-FR"/>
        </w:rPr>
        <w:t xml:space="preserve"> :</w:t>
      </w:r>
      <w:r>
        <w:rPr>
          <w:rFonts w:ascii="Calibri" w:hAnsi="Calibri"/>
          <w:b w:val="1"/>
          <w:bCs w:val="1"/>
          <w:shd w:val="clear" w:color="auto" w:fill="ffffff"/>
          <w:rtl w:val="0"/>
          <w:lang w:val="en-US"/>
        </w:rPr>
        <w:t xml:space="preserve"> $80,100</w:t>
      </w:r>
      <w:r>
        <w:rPr>
          <w:rFonts w:ascii="Calibri" w:hAnsi="Calibri"/>
          <w:shd w:val="clear" w:color="auto" w:fill="ffffff"/>
          <w:rtl w:val="0"/>
          <w:lang w:val="en-US"/>
        </w:rPr>
        <w:t xml:space="preserve"> operational cost in travel to reach </w:t>
      </w:r>
      <w:r>
        <w:rPr>
          <w:rFonts w:ascii="Calibri" w:hAnsi="Calibri"/>
          <w:b w:val="1"/>
          <w:bCs w:val="1"/>
          <w:shd w:val="clear" w:color="auto" w:fill="ffffff"/>
          <w:rtl w:val="0"/>
        </w:rPr>
        <w:t>4</w:t>
      </w:r>
      <w:r>
        <w:rPr>
          <w:rFonts w:ascii="Calibri" w:hAnsi="Calibri"/>
          <w:shd w:val="clear" w:color="auto" w:fill="ffffff"/>
          <w:rtl w:val="0"/>
          <w:lang w:val="en-US"/>
        </w:rPr>
        <w:t xml:space="preserve"> states, </w:t>
      </w:r>
      <w:r>
        <w:rPr>
          <w:rFonts w:ascii="Calibri" w:hAnsi="Calibri"/>
          <w:b w:val="1"/>
          <w:bCs w:val="1"/>
          <w:shd w:val="clear" w:color="auto" w:fill="ffffff"/>
          <w:rtl w:val="0"/>
          <w:lang w:val="en-US"/>
        </w:rPr>
        <w:t>276</w:t>
      </w:r>
      <w:r>
        <w:rPr>
          <w:rFonts w:ascii="Calibri" w:hAnsi="Calibri"/>
          <w:b w:val="1"/>
          <w:bCs w:val="1"/>
          <w:shd w:val="clear" w:color="auto" w:fill="ffffff"/>
          <w:rtl w:val="0"/>
          <w:lang w:val="en-US"/>
        </w:rPr>
        <w:t xml:space="preserve"> highschools</w:t>
      </w:r>
      <w:r>
        <w:rPr>
          <w:rFonts w:ascii="Calibri" w:hAnsi="Calibri"/>
          <w:shd w:val="clear" w:color="auto" w:fill="ffffff"/>
          <w:rtl w:val="0"/>
          <w:lang w:val="en-US"/>
        </w:rPr>
        <w:t xml:space="preserve">, and </w:t>
      </w:r>
      <w:r>
        <w:rPr>
          <w:rFonts w:ascii="Calibri" w:hAnsi="Calibri"/>
          <w:b w:val="1"/>
          <w:bCs w:val="1"/>
          <w:shd w:val="clear" w:color="auto" w:fill="ffffff"/>
          <w:rtl w:val="0"/>
        </w:rPr>
        <w:t>12</w:t>
      </w:r>
      <w:r>
        <w:rPr>
          <w:rFonts w:ascii="Calibri" w:hAnsi="Calibri"/>
          <w:b w:val="1"/>
          <w:bCs w:val="1"/>
          <w:shd w:val="clear" w:color="auto" w:fill="ffffff"/>
          <w:rtl w:val="0"/>
          <w:lang w:val="en-US"/>
        </w:rPr>
        <w:t>6,793</w:t>
      </w:r>
      <w:r>
        <w:rPr>
          <w:rFonts w:ascii="Calibri" w:hAnsi="Calibri"/>
          <w:b w:val="1"/>
          <w:bCs w:val="1"/>
          <w:shd w:val="clear" w:color="auto" w:fill="ffffff"/>
          <w:rtl w:val="0"/>
          <w:lang w:val="en-US"/>
        </w:rPr>
        <w:t xml:space="preserve"> students</w:t>
      </w:r>
      <w:r>
        <w:rPr>
          <w:rFonts w:ascii="Calibri" w:hAnsi="Calibri"/>
          <w:shd w:val="clear" w:color="auto" w:fill="ffffff"/>
          <w:rtl w:val="0"/>
          <w:lang w:val="en-US"/>
        </w:rPr>
        <w:t xml:space="preserve"> reached with our intervention in the first year.</w:t>
      </w:r>
    </w:p>
    <w:p>
      <w:pPr>
        <w:pStyle w:val="Default"/>
        <w:bidi w:val="0"/>
        <w:spacing w:before="0" w:line="240" w:lineRule="auto"/>
        <w:ind w:left="0" w:right="0" w:firstLine="0"/>
        <w:jc w:val="left"/>
        <w:rPr>
          <w:rFonts w:ascii="Calibri" w:cs="Calibri" w:hAnsi="Calibri" w:eastAsia="Calibri"/>
          <w:outline w:val="0"/>
          <w:color w:val="888888"/>
          <w:shd w:val="clear" w:color="auto" w:fill="ffffff"/>
          <w:rtl w:val="0"/>
          <w14:textFill>
            <w14:solidFill>
              <w14:srgbClr w14:val="888888"/>
            </w14:solidFill>
          </w14:textFill>
        </w:rPr>
      </w:pPr>
    </w:p>
    <w:p>
      <w:pPr>
        <w:pStyle w:val="Default"/>
        <w:bidi w:val="0"/>
        <w:spacing w:before="0" w:line="240" w:lineRule="auto"/>
        <w:ind w:left="0" w:right="0" w:firstLine="0"/>
        <w:jc w:val="left"/>
        <w:rPr>
          <w:rFonts w:ascii="Calibri" w:cs="Calibri" w:hAnsi="Calibri" w:eastAsia="Calibri"/>
          <w:shd w:val="clear" w:color="auto" w:fill="ffffff"/>
          <w:rtl w:val="0"/>
        </w:rPr>
      </w:pPr>
      <w:r>
        <w:rPr>
          <w:rFonts w:ascii="Calibri" w:hAnsi="Calibri"/>
          <w:shd w:val="clear" w:color="auto" w:fill="ffffff"/>
          <w:rtl w:val="0"/>
          <w:lang w:val="en-US"/>
        </w:rPr>
        <w:t xml:space="preserve">To implement would be </w:t>
      </w:r>
      <w:r>
        <w:rPr>
          <w:rFonts w:ascii="Calibri" w:hAnsi="Calibri"/>
          <w:b w:val="1"/>
          <w:bCs w:val="1"/>
          <w:shd w:val="clear" w:color="auto" w:fill="ffffff"/>
          <w:rtl w:val="0"/>
          <w:lang w:val="en-US"/>
        </w:rPr>
        <w:t>$80,100</w:t>
      </w:r>
      <w:r>
        <w:rPr>
          <w:rFonts w:ascii="Calibri" w:hAnsi="Calibri"/>
          <w:shd w:val="clear" w:color="auto" w:fill="ffffff"/>
          <w:rtl w:val="0"/>
          <w:lang w:val="en-US"/>
        </w:rPr>
        <w:t xml:space="preserve"> in annual funding for travel and lodging alone to cover a </w:t>
      </w:r>
      <w:r>
        <w:rPr>
          <w:rFonts w:ascii="Calibri" w:hAnsi="Calibri"/>
          <w:b w:val="1"/>
          <w:bCs w:val="1"/>
          <w:shd w:val="clear" w:color="auto" w:fill="ffffff"/>
          <w:rtl w:val="0"/>
          <w:lang w:val="en-US"/>
        </w:rPr>
        <w:t>4-state pilot</w:t>
      </w:r>
      <w:r>
        <w:rPr>
          <w:rFonts w:ascii="Calibri" w:hAnsi="Calibri"/>
          <w:shd w:val="clear" w:color="auto" w:fill="ffffff"/>
          <w:rtl w:val="0"/>
        </w:rPr>
        <w:t xml:space="preserve">, </w:t>
      </w:r>
      <w:r>
        <w:rPr>
          <w:rFonts w:ascii="Calibri" w:hAnsi="Calibri"/>
          <w:b w:val="1"/>
          <w:bCs w:val="1"/>
          <w:shd w:val="clear" w:color="auto" w:fill="ffffff"/>
          <w:rtl w:val="0"/>
          <w:lang w:val="en-US"/>
        </w:rPr>
        <w:t>276 high schools</w:t>
      </w:r>
      <w:r>
        <w:rPr>
          <w:rFonts w:ascii="Calibri" w:hAnsi="Calibri"/>
          <w:shd w:val="clear" w:color="auto" w:fill="ffffff"/>
          <w:rtl w:val="0"/>
          <w:lang w:val="en-US"/>
        </w:rPr>
        <w:t xml:space="preserve">, reaching an estimated </w:t>
      </w:r>
      <w:r>
        <w:rPr>
          <w:rFonts w:ascii="Calibri" w:hAnsi="Calibri"/>
          <w:b w:val="1"/>
          <w:bCs w:val="1"/>
          <w:shd w:val="clear" w:color="auto" w:fill="ffffff"/>
          <w:rtl w:val="0"/>
          <w:lang w:val="en-US"/>
        </w:rPr>
        <w:t>126,793 students</w:t>
      </w:r>
      <w:r>
        <w:rPr>
          <w:rFonts w:ascii="Calibri" w:hAnsi="Calibri"/>
          <w:shd w:val="clear" w:color="auto" w:fill="ffffff"/>
          <w:rtl w:val="0"/>
          <w:lang w:val="en-US"/>
        </w:rPr>
        <w:t>. Additional costs not included in this estimate would be Survey program (</w:t>
      </w:r>
      <w:r>
        <w:rPr>
          <w:rFonts w:ascii="Calibri" w:hAnsi="Calibri"/>
          <w:b w:val="1"/>
          <w:bCs w:val="1"/>
          <w:shd w:val="clear" w:color="auto" w:fill="ffffff"/>
          <w:rtl w:val="0"/>
          <w:lang w:val="en-US"/>
        </w:rPr>
        <w:t>$300 annually</w:t>
      </w:r>
      <w:r>
        <w:rPr>
          <w:rFonts w:ascii="Calibri" w:hAnsi="Calibri"/>
          <w:shd w:val="clear" w:color="auto" w:fill="ffffff"/>
          <w:rtl w:val="0"/>
          <w:lang w:val="en-US"/>
        </w:rPr>
        <w:t>), QR code creation ($59 quarterly</w:t>
      </w:r>
      <w:r>
        <w:rPr>
          <w:rFonts w:ascii="Calibri" w:hAnsi="Calibri"/>
          <w:b w:val="1"/>
          <w:bCs w:val="1"/>
          <w:shd w:val="clear" w:color="auto" w:fill="ffffff"/>
          <w:rtl w:val="0"/>
          <w:lang w:val="en-US"/>
        </w:rPr>
        <w:t>, or $118 for a 2 quarters ask for EBSI</w:t>
      </w:r>
      <w:r>
        <w:rPr>
          <w:rFonts w:ascii="Calibri" w:hAnsi="Calibri"/>
          <w:shd w:val="clear" w:color="auto" w:fill="ffffff"/>
          <w:rtl w:val="0"/>
          <w:lang w:val="en-US"/>
        </w:rPr>
        <w:t>), and salaried positions and consultant work to analyze our data on effectiveness.</w:t>
      </w:r>
      <w:r>
        <w:rPr>
          <w:rFonts w:ascii="Calibri" w:hAnsi="Calibri" w:hint="default"/>
          <w:shd w:val="clear" w:color="auto" w:fill="ffffff"/>
          <w:rtl w:val="0"/>
        </w:rPr>
        <w:t> </w:t>
      </w:r>
      <w:r>
        <w:rPr>
          <w:rFonts w:ascii="Calibri" w:hAnsi="Calibri"/>
          <w:shd w:val="clear" w:color="auto" w:fill="ffffff"/>
          <w:rtl w:val="0"/>
          <w:lang w:val="en-US"/>
        </w:rPr>
        <w:t xml:space="preserve">Add </w:t>
      </w:r>
      <w:r>
        <w:rPr>
          <w:rFonts w:ascii="Calibri" w:hAnsi="Calibri"/>
          <w:b w:val="1"/>
          <w:bCs w:val="1"/>
          <w:shd w:val="clear" w:color="auto" w:fill="ffffff"/>
          <w:rtl w:val="0"/>
          <w:lang w:val="en-US"/>
        </w:rPr>
        <w:t xml:space="preserve">$5,000 </w:t>
      </w:r>
      <w:r>
        <w:rPr>
          <w:rFonts w:ascii="Calibri" w:hAnsi="Calibri"/>
          <w:shd w:val="clear" w:color="auto" w:fill="ffffff"/>
          <w:rtl w:val="0"/>
          <w:lang w:val="en-US"/>
        </w:rPr>
        <w:t xml:space="preserve">filming crew for the Brother Rice Assembly (deadline Friday to book film crew for 3/3), plus </w:t>
      </w:r>
      <w:r>
        <w:rPr>
          <w:rFonts w:ascii="Calibri" w:hAnsi="Calibri"/>
          <w:b w:val="1"/>
          <w:bCs w:val="1"/>
          <w:shd w:val="clear" w:color="auto" w:fill="ffffff"/>
          <w:rtl w:val="0"/>
          <w:lang w:val="en-US"/>
        </w:rPr>
        <w:t xml:space="preserve">$2,000 travel </w:t>
      </w:r>
      <w:r>
        <w:rPr>
          <w:rFonts w:ascii="Calibri" w:hAnsi="Calibri"/>
          <w:shd w:val="clear" w:color="auto" w:fill="ffffff"/>
          <w:rtl w:val="0"/>
          <w:lang w:val="en-US"/>
        </w:rPr>
        <w:t>expenses to testify before Congress about Fentanyl per invitation on February 28th.</w:t>
      </w:r>
    </w:p>
    <w:p>
      <w:pPr>
        <w:pStyle w:val="Default"/>
        <w:bidi w:val="0"/>
        <w:spacing w:before="0" w:line="240" w:lineRule="auto"/>
        <w:ind w:left="0" w:right="0" w:firstLine="0"/>
        <w:jc w:val="left"/>
        <w:rPr>
          <w:rFonts w:ascii="Calibri" w:cs="Calibri" w:hAnsi="Calibri" w:eastAsia="Calibri"/>
          <w:shd w:val="clear" w:color="auto" w:fill="ffffff"/>
          <w:rtl w:val="0"/>
        </w:rPr>
      </w:pPr>
    </w:p>
    <w:p>
      <w:pPr>
        <w:pStyle w:val="Default"/>
        <w:bidi w:val="0"/>
        <w:spacing w:before="0" w:line="240" w:lineRule="auto"/>
        <w:ind w:left="0" w:right="0" w:firstLine="0"/>
        <w:jc w:val="left"/>
        <w:rPr>
          <w:rFonts w:ascii="Calibri" w:cs="Calibri" w:hAnsi="Calibri" w:eastAsia="Calibri"/>
          <w:b w:val="1"/>
          <w:bCs w:val="1"/>
          <w:u w:val="single"/>
          <w:shd w:val="clear" w:color="auto" w:fill="ffffff"/>
          <w:rtl w:val="0"/>
        </w:rPr>
      </w:pPr>
      <w:r>
        <w:rPr>
          <w:rFonts w:ascii="Calibri" w:hAnsi="Calibri"/>
          <w:shd w:val="clear" w:color="auto" w:fill="ffffff"/>
          <w:rtl w:val="0"/>
          <w:lang w:val="en-US"/>
        </w:rPr>
        <w:t>$80,100  + $300 + $118 + $5,000 + $2000 = $87,518</w:t>
      </w:r>
    </w:p>
    <w:p>
      <w:pPr>
        <w:pStyle w:val="Default"/>
        <w:bidi w:val="0"/>
        <w:spacing w:before="0" w:line="240" w:lineRule="auto"/>
        <w:ind w:left="0" w:right="0" w:firstLine="0"/>
        <w:jc w:val="left"/>
        <w:rPr>
          <w:rFonts w:ascii="Calibri" w:cs="Calibri" w:hAnsi="Calibri" w:eastAsia="Calibri"/>
          <w:shd w:val="clear" w:color="auto" w:fill="ffffff"/>
          <w:rtl w:val="0"/>
        </w:rPr>
      </w:pPr>
    </w:p>
    <w:p>
      <w:pPr>
        <w:pStyle w:val="Default"/>
        <w:bidi w:val="0"/>
        <w:spacing w:before="0" w:line="240" w:lineRule="auto"/>
        <w:ind w:left="0" w:right="0" w:firstLine="0"/>
        <w:jc w:val="left"/>
        <w:rPr>
          <w:rFonts w:ascii="Calibri" w:cs="Calibri" w:hAnsi="Calibri" w:eastAsia="Calibri"/>
          <w:sz w:val="28"/>
          <w:szCs w:val="28"/>
          <w:shd w:val="clear" w:color="auto" w:fill="ffffff"/>
          <w:rtl w:val="0"/>
        </w:rPr>
      </w:pPr>
      <w:r>
        <w:rPr>
          <w:rFonts w:ascii="Calibri" w:hAnsi="Calibri"/>
          <w:sz w:val="28"/>
          <w:szCs w:val="28"/>
          <w:shd w:val="clear" w:color="auto" w:fill="ffffff"/>
          <w:rtl w:val="0"/>
          <w:lang w:val="en-US"/>
        </w:rPr>
        <w:t xml:space="preserve">Total </w:t>
      </w:r>
      <w:r>
        <w:rPr>
          <w:rFonts w:ascii="Calibri" w:hAnsi="Calibri"/>
          <w:b w:val="1"/>
          <w:bCs w:val="1"/>
          <w:outline w:val="0"/>
          <w:color w:val="ec3a87"/>
          <w:sz w:val="28"/>
          <w:szCs w:val="28"/>
          <w:shd w:val="clear" w:color="auto" w:fill="ffffff"/>
          <w:rtl w:val="0"/>
          <w:lang w:val="en-US"/>
          <w14:textFill>
            <w14:solidFill>
              <w14:srgbClr w14:val="EC3A88"/>
            </w14:solidFill>
          </w14:textFill>
        </w:rPr>
        <w:t>Emergent/EBSI/NARCAN</w:t>
      </w:r>
      <w:r>
        <w:rPr>
          <w:rFonts w:ascii="Calibri" w:hAnsi="Calibri"/>
          <w:sz w:val="28"/>
          <w:szCs w:val="28"/>
          <w:shd w:val="clear" w:color="auto" w:fill="ffffff"/>
          <w:rtl w:val="0"/>
          <w:lang w:val="en-US"/>
        </w:rPr>
        <w:t xml:space="preserve"> </w:t>
      </w:r>
      <w:r>
        <w:rPr>
          <w:rFonts w:ascii="Calibri" w:hAnsi="Calibri"/>
          <w:i w:val="1"/>
          <w:iCs w:val="1"/>
          <w:sz w:val="28"/>
          <w:szCs w:val="28"/>
          <w:shd w:val="clear" w:color="auto" w:fill="ffffff"/>
          <w:rtl w:val="0"/>
          <w:lang w:val="en-US"/>
        </w:rPr>
        <w:t>ASK</w:t>
      </w:r>
      <w:r>
        <w:rPr>
          <w:rFonts w:ascii="Calibri" w:hAnsi="Calibri"/>
          <w:sz w:val="28"/>
          <w:szCs w:val="28"/>
          <w:shd w:val="clear" w:color="auto" w:fill="ffffff"/>
          <w:rtl w:val="0"/>
          <w:lang w:val="en-US"/>
        </w:rPr>
        <w:t xml:space="preserve"> for </w:t>
      </w:r>
      <w:r>
        <w:rPr>
          <w:rFonts w:ascii="Calibri" w:hAnsi="Calibri"/>
          <w:b w:val="1"/>
          <w:bCs w:val="1"/>
          <w:outline w:val="0"/>
          <w:color w:val="ed7d31"/>
          <w:sz w:val="28"/>
          <w:szCs w:val="28"/>
          <w:shd w:val="clear" w:color="auto" w:fill="ffffff"/>
          <w:rtl w:val="0"/>
          <w:lang w:val="en-US"/>
          <w14:textFill>
            <w14:solidFill>
              <w14:srgbClr w14:val="ED7D31"/>
            </w14:solidFill>
          </w14:textFill>
        </w:rPr>
        <w:t>Fentanyl Fathers</w:t>
      </w:r>
      <w:r>
        <w:rPr>
          <w:rFonts w:ascii="Calibri" w:hAnsi="Calibri"/>
          <w:sz w:val="28"/>
          <w:szCs w:val="28"/>
          <w:shd w:val="clear" w:color="auto" w:fill="ffffff"/>
          <w:rtl w:val="0"/>
          <w:lang w:val="en-US"/>
        </w:rPr>
        <w:t xml:space="preserve"> Pilot Program: </w:t>
      </w:r>
      <w:r>
        <w:rPr>
          <w:rFonts w:ascii="Calibri" w:hAnsi="Calibri"/>
          <w:b w:val="1"/>
          <w:bCs w:val="1"/>
          <w:sz w:val="28"/>
          <w:szCs w:val="28"/>
          <w:u w:val="single"/>
          <w:shd w:val="clear" w:color="auto" w:fill="ffffff"/>
          <w:rtl w:val="0"/>
          <w:lang w:val="en-US"/>
        </w:rPr>
        <w:t>$87,518.</w:t>
      </w:r>
      <w:r>
        <w:rPr>
          <w:rFonts w:ascii="Calibri" w:hAnsi="Calibri"/>
          <w:sz w:val="28"/>
          <w:szCs w:val="28"/>
          <w:shd w:val="clear" w:color="auto" w:fill="ffffff"/>
          <w:rtl w:val="0"/>
          <w:lang w:val="en-US"/>
        </w:rPr>
        <w:t xml:space="preserve"> </w:t>
      </w:r>
    </w:p>
    <w:p>
      <w:pPr>
        <w:pStyle w:val="Default"/>
        <w:bidi w:val="0"/>
        <w:spacing w:before="0" w:line="240" w:lineRule="auto"/>
        <w:ind w:left="0" w:right="0" w:firstLine="0"/>
        <w:jc w:val="left"/>
        <w:rPr>
          <w:rFonts w:ascii="Calibri" w:cs="Calibri" w:hAnsi="Calibri" w:eastAsia="Calibri"/>
          <w:shd w:val="clear" w:color="auto" w:fill="ffffff"/>
          <w:rtl w:val="0"/>
        </w:rPr>
      </w:pPr>
    </w:p>
    <w:p>
      <w:pPr>
        <w:pStyle w:val="Default"/>
        <w:bidi w:val="0"/>
        <w:spacing w:before="0" w:line="240" w:lineRule="auto"/>
        <w:ind w:left="0" w:right="0" w:firstLine="0"/>
        <w:jc w:val="left"/>
        <w:rPr>
          <w:rtl w:val="0"/>
        </w:rPr>
      </w:pPr>
      <w:r>
        <w:rPr>
          <w:rFonts w:ascii="Calibri" w:hAnsi="Calibri"/>
          <w:b w:val="1"/>
          <w:bCs w:val="1"/>
          <w:shd w:val="clear" w:color="auto" w:fill="ffffff"/>
          <w:rtl w:val="0"/>
          <w:lang w:val="en-US"/>
        </w:rPr>
        <w:t>Total Impact:</w:t>
      </w:r>
      <w:r>
        <w:rPr>
          <w:rFonts w:ascii="Calibri" w:hAnsi="Calibri"/>
          <w:shd w:val="clear" w:color="auto" w:fill="ffffff"/>
          <w:rtl w:val="0"/>
          <w:lang w:val="en-US"/>
        </w:rPr>
        <w:t xml:space="preserve"> 126,793 Students Lives Protected, NARCAN the Naloxone brand of choice of all schools by Fentanyl Fathers, </w:t>
      </w:r>
      <w:r>
        <w:rPr>
          <w:rFonts w:ascii="Calibri" w:hAnsi="Calibri"/>
          <w:b w:val="1"/>
          <w:bCs w:val="1"/>
          <w:shd w:val="clear" w:color="auto" w:fill="ffffff"/>
          <w:rtl w:val="0"/>
          <w:lang w:val="en-US"/>
        </w:rPr>
        <w:t>national and local media and politicians at each event</w:t>
      </w:r>
      <w:r>
        <w:rPr>
          <w:rFonts w:ascii="Calibri" w:hAnsi="Calibri"/>
          <w:shd w:val="clear" w:color="auto" w:fill="ffffff"/>
          <w:rtl w:val="0"/>
          <w:lang w:val="en-US"/>
        </w:rPr>
        <w:t xml:space="preserve"> for significant positive </w:t>
      </w:r>
      <w:r>
        <w:rPr>
          <w:rFonts w:ascii="Calibri" w:hAnsi="Calibri" w:hint="default"/>
          <w:shd w:val="clear" w:color="auto" w:fill="ffffff"/>
          <w:rtl w:val="0"/>
          <w:lang w:val="en-US"/>
        </w:rPr>
        <w:t>“</w:t>
      </w:r>
      <w:r>
        <w:rPr>
          <w:rFonts w:ascii="Calibri" w:hAnsi="Calibri"/>
          <w:shd w:val="clear" w:color="auto" w:fill="ffffff"/>
          <w:rtl w:val="0"/>
          <w:lang w:val="en-US"/>
        </w:rPr>
        <w:t>Earned Media</w:t>
      </w:r>
      <w:r>
        <w:rPr>
          <w:rFonts w:ascii="Calibri" w:hAnsi="Calibri" w:hint="default"/>
          <w:shd w:val="clear" w:color="auto" w:fill="ffffff"/>
          <w:rtl w:val="0"/>
          <w:lang w:val="en-US"/>
        </w:rPr>
        <w:t>”</w:t>
      </w:r>
      <w:r>
        <w:rPr>
          <w:rFonts w:ascii="Calibri" w:hAnsi="Calibri"/>
          <w:shd w:val="clear" w:color="auto" w:fill="ffffff"/>
          <w:rtl w:val="0"/>
          <w:lang w:val="en-US"/>
        </w:rPr>
        <w:t xml:space="preserve">. This sponsorship establishes NARCAN as the </w:t>
      </w:r>
      <w:r>
        <w:rPr>
          <w:rFonts w:ascii="Calibri" w:hAnsi="Calibri"/>
          <w:i w:val="1"/>
          <w:iCs w:val="1"/>
          <w:shd w:val="clear" w:color="auto" w:fill="ffffff"/>
          <w:rtl w:val="0"/>
          <w:lang w:val="en-US"/>
        </w:rPr>
        <w:t xml:space="preserve">go forward brand </w:t>
      </w:r>
      <w:r>
        <w:rPr>
          <w:rFonts w:ascii="Calibri" w:hAnsi="Calibri"/>
          <w:shd w:val="clear" w:color="auto" w:fill="ffffff"/>
          <w:rtl w:val="0"/>
          <w:lang w:val="en-US"/>
        </w:rPr>
        <w:t xml:space="preserve">emerging as the home medicine cabinet marketshare leader - dominant among the </w:t>
      </w:r>
      <w:r>
        <w:rPr>
          <w:rStyle w:val="Hyperlink.0"/>
          <w:rFonts w:ascii="Calibri" w:cs="Calibri" w:hAnsi="Calibri" w:eastAsia="Calibri"/>
          <w:rtl w:val="0"/>
        </w:rPr>
        <w:fldChar w:fldCharType="begin" w:fldLock="0"/>
      </w:r>
      <w:r>
        <w:rPr>
          <w:rStyle w:val="Hyperlink.0"/>
          <w:rFonts w:ascii="Calibri" w:cs="Calibri" w:hAnsi="Calibri" w:eastAsia="Calibri"/>
          <w:rtl w:val="0"/>
        </w:rPr>
        <w:instrText xml:space="preserve"> HYPERLINK "https://www.baldwin.senate.gov/imo/media/doc/Naloxone%20OTC%20Status%20Letters_combined.pdf"</w:instrText>
      </w:r>
      <w:r>
        <w:rPr>
          <w:rStyle w:val="Hyperlink.0"/>
          <w:rFonts w:ascii="Calibri" w:cs="Calibri" w:hAnsi="Calibri" w:eastAsia="Calibri"/>
          <w:rtl w:val="0"/>
        </w:rPr>
        <w:fldChar w:fldCharType="separate" w:fldLock="0"/>
      </w:r>
      <w:r>
        <w:rPr>
          <w:rStyle w:val="Hyperlink.0"/>
          <w:rFonts w:ascii="Calibri" w:hAnsi="Calibri"/>
          <w:rtl w:val="0"/>
          <w:lang w:val="en-US"/>
        </w:rPr>
        <w:t>original seven asked by Congress and Senate</w:t>
      </w:r>
      <w:r>
        <w:rPr>
          <w:rFonts w:ascii="Calibri" w:cs="Calibri" w:hAnsi="Calibri" w:eastAsia="Calibri"/>
          <w:rtl w:val="0"/>
        </w:rPr>
        <w:fldChar w:fldCharType="end" w:fldLock="0"/>
      </w:r>
      <w:r>
        <w:rPr>
          <w:rFonts w:ascii="Calibri" w:hAnsi="Calibri"/>
          <w:shd w:val="clear" w:color="auto" w:fill="ffffff"/>
          <w:rtl w:val="0"/>
          <w:lang w:val="en-US"/>
        </w:rPr>
        <w:t xml:space="preserve">. </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outline w:val="0"/>
      <w:color w:val="0563c1"/>
      <w:u w:val="single" w:color="0563c1"/>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